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中贷协“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《民法典》对信贷、担保业务的影响及担保部分司法解释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”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直播培训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非会员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参训人员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66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71"/>
        <w:gridCol w:w="2014"/>
        <w:gridCol w:w="1877"/>
        <w:gridCol w:w="1877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  <w:jc w:val="center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各地方协会请于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:00前将非会员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参训人员</w:t>
      </w:r>
      <w:r>
        <w:rPr>
          <w:rFonts w:hint="eastAsia" w:ascii="仿宋_GB2312" w:eastAsia="仿宋_GB2312"/>
          <w:sz w:val="32"/>
          <w:szCs w:val="32"/>
        </w:rPr>
        <w:t>报名表发送至中贷协培训部邮箱：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"mailto:peixun@china-cmca.org。"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peixun@china-cmca.org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联系人：王璐 010-59226325 18668620886。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FB7F"/>
    <w:multiLevelType w:val="singleLevel"/>
    <w:tmpl w:val="52F5FB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1EE9059E"/>
    <w:rsid w:val="24C976A9"/>
    <w:rsid w:val="2B2B0144"/>
    <w:rsid w:val="3AF61CD1"/>
    <w:rsid w:val="3D656C5A"/>
    <w:rsid w:val="4400755C"/>
    <w:rsid w:val="52321829"/>
    <w:rsid w:val="58626B86"/>
    <w:rsid w:val="66A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2021-03-10T03:29:27Z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